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hint="eastAsia" w:ascii="华文中宋" w:hAnsi="华文中宋" w:eastAsia="华文中宋"/>
          <w:color w:val="FF0000"/>
          <w:w w:val="70"/>
          <w:sz w:val="140"/>
          <w:szCs w:val="140"/>
        </w:rPr>
      </w:pPr>
      <w:r>
        <w:rPr>
          <w:rFonts w:hint="eastAsia" w:ascii="华文中宋" w:hAnsi="华文中宋" w:eastAsia="华文中宋"/>
          <w:color w:val="FF0000"/>
          <w:w w:val="70"/>
          <w:sz w:val="140"/>
          <w:szCs w:val="140"/>
        </w:rPr>
        <w:t>吉首大学教务处</w:t>
      </w:r>
    </w:p>
    <w:p>
      <w:pPr>
        <w:jc w:val="center"/>
        <w:rPr>
          <w:rFonts w:hint="eastAsia"/>
          <w:szCs w:val="21"/>
        </w:rPr>
      </w:pPr>
      <w:r>
        <w:rPr>
          <w:rFonts w:hint="eastAsia" w:ascii="仿宋_GB2312" w:eastAsia="仿宋_GB2312"/>
          <w:sz w:val="32"/>
          <w:szCs w:val="32"/>
        </w:rPr>
        <w:t>教通[201</w:t>
      </w:r>
      <w:r>
        <w:rPr>
          <w:rFonts w:hint="eastAsia" w:ascii="仿宋_GB2312" w:eastAsia="仿宋_GB2312"/>
          <w:sz w:val="32"/>
          <w:szCs w:val="32"/>
          <w:lang w:val="en-US" w:eastAsia="zh-CN"/>
        </w:rPr>
        <w:t>7</w:t>
      </w:r>
      <w:r>
        <w:rPr>
          <w:rFonts w:hint="eastAsia" w:ascii="仿宋_GB2312" w:eastAsia="仿宋_GB2312"/>
          <w:sz w:val="32"/>
          <w:szCs w:val="32"/>
        </w:rPr>
        <w:t>]</w:t>
      </w:r>
      <w:r>
        <w:rPr>
          <w:rFonts w:hint="eastAsia" w:ascii="仿宋_GB2312" w:eastAsia="仿宋_GB2312"/>
          <w:sz w:val="32"/>
          <w:szCs w:val="32"/>
          <w:lang w:val="en-US" w:eastAsia="zh-CN"/>
        </w:rPr>
        <w:t>40</w:t>
      </w:r>
      <w:r>
        <w:rPr>
          <w:rFonts w:hint="eastAsia" w:ascii="仿宋_GB2312" w:eastAsia="仿宋_GB2312"/>
          <w:sz w:val="32"/>
          <w:szCs w:val="32"/>
        </w:rPr>
        <w:t>号</w:t>
      </w:r>
    </w:p>
    <w:p>
      <w:pPr>
        <w:rPr>
          <w:rFonts w:hint="eastAsia"/>
          <w:szCs w:val="21"/>
        </w:rPr>
      </w:pPr>
      <w:r>
        <w:rPr>
          <w:rFonts w:hint="eastAsia"/>
          <w:szCs w:val="21"/>
        </w:rPr>
        <w:pict>
          <v:line id="_x0000_s2050" o:spid="_x0000_s2050" o:spt="20" style="position:absolute;left:0pt;margin-left:0pt;margin-top:0pt;height:0pt;width:414pt;z-index:251658240;mso-width-relative:page;mso-height-relative:page;" filled="f" stroked="t" coordsize="21600,21600">
            <v:path arrowok="t"/>
            <v:fill on="f" focussize="0,0"/>
            <v:stroke weight="1.75pt" color="#FF0000"/>
            <v:imagedata o:title=""/>
            <o:lock v:ext="edit"/>
          </v:line>
        </w:pict>
      </w:r>
    </w:p>
    <w:p>
      <w:pPr>
        <w:jc w:val="center"/>
        <w:rPr>
          <w:rFonts w:ascii="黑体" w:hAnsi="黑体" w:eastAsia="黑体" w:cs="黑体"/>
          <w:sz w:val="36"/>
          <w:szCs w:val="36"/>
        </w:rPr>
      </w:pPr>
      <w:r>
        <w:rPr>
          <w:rFonts w:hint="eastAsia" w:ascii="黑体" w:hAnsi="黑体" w:eastAsia="黑体" w:cs="黑体"/>
          <w:sz w:val="36"/>
          <w:szCs w:val="36"/>
        </w:rPr>
        <w:t>吉首大学“十三五”专业综合改革试点项目2017年度检查情况通报</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各相关学院：</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为进一步推动专业综合改革试点项目建设工作，加强试点项目的成果展示和交流，及时总结经验，根据《关于组织吉首大学“十三五”专业综合改革试点项目年度检查及建设研讨会的通知》（</w:t>
      </w:r>
      <w:bookmarkStart w:id="0" w:name="文号"/>
      <w:r>
        <w:rPr>
          <w:rFonts w:hint="eastAsia" w:ascii="仿宋_GB2312" w:hAnsi="仿宋_GB2312" w:eastAsia="仿宋_GB2312" w:cs="仿宋_GB2312"/>
          <w:sz w:val="28"/>
          <w:szCs w:val="28"/>
        </w:rPr>
        <w:t>教通[2017]37号</w:t>
      </w:r>
      <w:bookmarkEnd w:id="0"/>
      <w:r>
        <w:rPr>
          <w:rFonts w:hint="eastAsia" w:ascii="仿宋_GB2312" w:hAnsi="仿宋_GB2312" w:eastAsia="仿宋_GB2312" w:cs="仿宋_GB2312"/>
          <w:sz w:val="28"/>
          <w:szCs w:val="28"/>
        </w:rPr>
        <w:t>）文件精神，学校对2016年立项建设的“通信工程”等10个专业综合改革试点项目进行了年度检查。经专业综合改革项目主持人陈述和答辩、专家组查阅专业年度建设总结材料和充分评议，形成了本次年度检查结果，现将检查结果通报如下：</w:t>
      </w:r>
    </w:p>
    <w:p>
      <w:pPr>
        <w:ind w:firstLine="56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一、检查结果</w:t>
      </w:r>
    </w:p>
    <w:tbl>
      <w:tblPr>
        <w:tblStyle w:val="5"/>
        <w:tblW w:w="8242"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848"/>
        <w:gridCol w:w="2190"/>
        <w:gridCol w:w="1095"/>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blHeader/>
        </w:trPr>
        <w:tc>
          <w:tcPr>
            <w:tcW w:w="820" w:type="dxa"/>
            <w:shd w:val="clear" w:color="auto" w:fill="auto"/>
            <w:vAlign w:val="center"/>
          </w:tcPr>
          <w:p>
            <w:pPr>
              <w:widowControl/>
              <w:snapToGrid w:val="0"/>
              <w:jc w:val="center"/>
              <w:rPr>
                <w:rFonts w:ascii="仿宋_GB2312" w:hAnsi="华文仿宋" w:eastAsia="仿宋_GB2312" w:cs="宋体"/>
                <w:kern w:val="0"/>
                <w:sz w:val="28"/>
                <w:szCs w:val="28"/>
              </w:rPr>
            </w:pPr>
            <w:r>
              <w:rPr>
                <w:rFonts w:hint="eastAsia" w:ascii="仿宋_GB2312" w:hAnsi="华文仿宋" w:eastAsia="仿宋_GB2312" w:cs="宋体"/>
                <w:kern w:val="0"/>
                <w:sz w:val="28"/>
                <w:szCs w:val="28"/>
              </w:rPr>
              <w:t>序号</w:t>
            </w:r>
          </w:p>
        </w:tc>
        <w:tc>
          <w:tcPr>
            <w:tcW w:w="2848" w:type="dxa"/>
            <w:shd w:val="clear" w:color="auto" w:fill="auto"/>
            <w:vAlign w:val="center"/>
          </w:tcPr>
          <w:p>
            <w:pPr>
              <w:widowControl/>
              <w:snapToGrid w:val="0"/>
              <w:jc w:val="center"/>
              <w:rPr>
                <w:rFonts w:ascii="仿宋_GB2312" w:hAnsi="华文仿宋" w:eastAsia="仿宋_GB2312" w:cs="宋体"/>
                <w:kern w:val="0"/>
                <w:sz w:val="28"/>
                <w:szCs w:val="28"/>
              </w:rPr>
            </w:pPr>
            <w:r>
              <w:rPr>
                <w:rFonts w:hint="eastAsia" w:ascii="仿宋_GB2312" w:hAnsi="华文仿宋" w:eastAsia="仿宋_GB2312" w:cs="宋体"/>
                <w:kern w:val="0"/>
                <w:sz w:val="28"/>
                <w:szCs w:val="28"/>
              </w:rPr>
              <w:t>学院名称</w:t>
            </w:r>
          </w:p>
        </w:tc>
        <w:tc>
          <w:tcPr>
            <w:tcW w:w="2190" w:type="dxa"/>
            <w:shd w:val="clear" w:color="auto" w:fill="auto"/>
            <w:vAlign w:val="center"/>
          </w:tcPr>
          <w:p>
            <w:pPr>
              <w:widowControl/>
              <w:snapToGrid w:val="0"/>
              <w:jc w:val="center"/>
              <w:rPr>
                <w:rFonts w:ascii="仿宋_GB2312" w:hAnsi="华文仿宋" w:eastAsia="仿宋_GB2312" w:cs="宋体"/>
                <w:kern w:val="0"/>
                <w:sz w:val="28"/>
                <w:szCs w:val="28"/>
              </w:rPr>
            </w:pPr>
            <w:r>
              <w:rPr>
                <w:rFonts w:hint="eastAsia" w:ascii="仿宋_GB2312" w:hAnsi="华文仿宋" w:eastAsia="仿宋_GB2312" w:cs="宋体"/>
                <w:kern w:val="0"/>
                <w:sz w:val="28"/>
                <w:szCs w:val="28"/>
              </w:rPr>
              <w:t>专业名称</w:t>
            </w:r>
          </w:p>
        </w:tc>
        <w:tc>
          <w:tcPr>
            <w:tcW w:w="1095" w:type="dxa"/>
            <w:shd w:val="clear" w:color="auto" w:fill="auto"/>
            <w:vAlign w:val="center"/>
          </w:tcPr>
          <w:p>
            <w:pPr>
              <w:widowControl/>
              <w:snapToGrid w:val="0"/>
              <w:jc w:val="center"/>
              <w:rPr>
                <w:rFonts w:ascii="仿宋_GB2312" w:hAnsi="华文仿宋" w:eastAsia="仿宋_GB2312" w:cs="宋体"/>
                <w:kern w:val="0"/>
                <w:sz w:val="28"/>
                <w:szCs w:val="28"/>
              </w:rPr>
            </w:pPr>
            <w:r>
              <w:rPr>
                <w:rFonts w:hint="eastAsia" w:ascii="仿宋_GB2312" w:hAnsi="华文仿宋" w:eastAsia="仿宋_GB2312" w:cs="宋体"/>
                <w:kern w:val="0"/>
                <w:sz w:val="28"/>
                <w:szCs w:val="28"/>
              </w:rPr>
              <w:t>项　目</w:t>
            </w:r>
          </w:p>
          <w:p>
            <w:pPr>
              <w:widowControl/>
              <w:snapToGrid w:val="0"/>
              <w:jc w:val="center"/>
              <w:rPr>
                <w:rFonts w:ascii="仿宋_GB2312" w:hAnsi="华文仿宋" w:eastAsia="仿宋_GB2312" w:cs="宋体"/>
                <w:kern w:val="0"/>
                <w:sz w:val="28"/>
                <w:szCs w:val="28"/>
              </w:rPr>
            </w:pPr>
            <w:r>
              <w:rPr>
                <w:rFonts w:hint="eastAsia" w:ascii="仿宋_GB2312" w:hAnsi="华文仿宋" w:eastAsia="仿宋_GB2312" w:cs="宋体"/>
                <w:kern w:val="0"/>
                <w:sz w:val="28"/>
                <w:szCs w:val="28"/>
              </w:rPr>
              <w:t>负责人</w:t>
            </w:r>
          </w:p>
        </w:tc>
        <w:tc>
          <w:tcPr>
            <w:tcW w:w="1289" w:type="dxa"/>
            <w:shd w:val="clear" w:color="auto" w:fill="auto"/>
            <w:vAlign w:val="center"/>
          </w:tcPr>
          <w:p>
            <w:pPr>
              <w:widowControl/>
              <w:snapToGrid w:val="0"/>
              <w:jc w:val="center"/>
              <w:rPr>
                <w:rFonts w:ascii="仿宋_GB2312" w:hAnsi="华文仿宋" w:eastAsia="仿宋_GB2312" w:cs="宋体"/>
                <w:kern w:val="0"/>
                <w:sz w:val="28"/>
                <w:szCs w:val="28"/>
              </w:rPr>
            </w:pPr>
            <w:r>
              <w:rPr>
                <w:rFonts w:hint="eastAsia" w:ascii="仿宋_GB2312" w:hAnsi="华文仿宋" w:eastAsia="仿宋_GB2312" w:cs="宋体"/>
                <w:kern w:val="0"/>
                <w:sz w:val="28"/>
                <w:szCs w:val="28"/>
              </w:rPr>
              <w:t>检查</w:t>
            </w:r>
          </w:p>
          <w:p>
            <w:pPr>
              <w:widowControl/>
              <w:snapToGrid w:val="0"/>
              <w:jc w:val="center"/>
              <w:rPr>
                <w:rFonts w:ascii="仿宋_GB2312" w:hAnsi="华文仿宋" w:eastAsia="仿宋_GB2312" w:cs="宋体"/>
                <w:kern w:val="0"/>
                <w:sz w:val="28"/>
                <w:szCs w:val="28"/>
              </w:rPr>
            </w:pPr>
            <w:r>
              <w:rPr>
                <w:rFonts w:hint="eastAsia" w:ascii="仿宋_GB2312" w:hAnsi="华文仿宋" w:eastAsia="仿宋_GB2312" w:cs="宋体"/>
                <w:kern w:val="0"/>
                <w:sz w:val="28"/>
                <w:szCs w:val="28"/>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20" w:type="dxa"/>
            <w:shd w:val="clear" w:color="auto" w:fill="auto"/>
            <w:vAlign w:val="center"/>
          </w:tcPr>
          <w:p>
            <w:pPr>
              <w:widowControl/>
              <w:snapToGrid w:val="0"/>
              <w:jc w:val="center"/>
              <w:rPr>
                <w:rFonts w:ascii="仿宋_GB2312" w:hAnsi="华文仿宋" w:eastAsia="仿宋_GB2312" w:cs="宋体"/>
                <w:kern w:val="0"/>
                <w:sz w:val="28"/>
                <w:szCs w:val="28"/>
              </w:rPr>
            </w:pPr>
            <w:r>
              <w:rPr>
                <w:rFonts w:hint="eastAsia" w:ascii="仿宋_GB2312" w:hAnsi="华文仿宋" w:eastAsia="仿宋_GB2312" w:cs="宋体"/>
                <w:kern w:val="0"/>
                <w:sz w:val="28"/>
                <w:szCs w:val="28"/>
              </w:rPr>
              <w:t>1</w:t>
            </w:r>
          </w:p>
        </w:tc>
        <w:tc>
          <w:tcPr>
            <w:tcW w:w="2848" w:type="dxa"/>
            <w:shd w:val="clear" w:color="auto" w:fill="auto"/>
            <w:vAlign w:val="center"/>
          </w:tcPr>
          <w:p>
            <w:pPr>
              <w:widowControl/>
              <w:snapToGrid w:val="0"/>
              <w:rPr>
                <w:rFonts w:ascii="仿宋_GB2312" w:hAnsi="华文仿宋" w:eastAsia="仿宋_GB2312" w:cs="宋体"/>
                <w:kern w:val="0"/>
                <w:sz w:val="28"/>
                <w:szCs w:val="28"/>
              </w:rPr>
            </w:pPr>
            <w:r>
              <w:rPr>
                <w:rFonts w:hint="eastAsia" w:ascii="仿宋_GB2312" w:hAnsi="华文仿宋" w:eastAsia="仿宋_GB2312" w:cs="宋体"/>
                <w:kern w:val="0"/>
                <w:sz w:val="28"/>
                <w:szCs w:val="28"/>
              </w:rPr>
              <w:t>信息科学与工程学院</w:t>
            </w:r>
          </w:p>
        </w:tc>
        <w:tc>
          <w:tcPr>
            <w:tcW w:w="2190" w:type="dxa"/>
            <w:shd w:val="clear" w:color="auto" w:fill="auto"/>
            <w:vAlign w:val="center"/>
          </w:tcPr>
          <w:p>
            <w:pPr>
              <w:widowControl/>
              <w:snapToGrid w:val="0"/>
              <w:rPr>
                <w:rFonts w:ascii="仿宋_GB2312" w:hAnsi="华文仿宋" w:eastAsia="仿宋_GB2312" w:cs="宋体"/>
                <w:kern w:val="0"/>
                <w:sz w:val="28"/>
                <w:szCs w:val="28"/>
              </w:rPr>
            </w:pPr>
            <w:r>
              <w:rPr>
                <w:rFonts w:hint="eastAsia" w:ascii="仿宋_GB2312" w:hAnsi="华文仿宋" w:eastAsia="仿宋_GB2312" w:cs="宋体"/>
                <w:kern w:val="0"/>
                <w:sz w:val="28"/>
                <w:szCs w:val="28"/>
              </w:rPr>
              <w:t>通信工程</w:t>
            </w:r>
          </w:p>
        </w:tc>
        <w:tc>
          <w:tcPr>
            <w:tcW w:w="1095" w:type="dxa"/>
            <w:shd w:val="clear" w:color="auto" w:fill="auto"/>
            <w:vAlign w:val="center"/>
          </w:tcPr>
          <w:p>
            <w:pPr>
              <w:widowControl/>
              <w:snapToGrid w:val="0"/>
              <w:jc w:val="center"/>
              <w:rPr>
                <w:rFonts w:ascii="仿宋_GB2312" w:hAnsi="华文仿宋" w:eastAsia="仿宋_GB2312" w:cs="宋体"/>
                <w:kern w:val="0"/>
                <w:sz w:val="28"/>
                <w:szCs w:val="28"/>
              </w:rPr>
            </w:pPr>
            <w:r>
              <w:rPr>
                <w:rFonts w:hint="eastAsia" w:ascii="仿宋_GB2312" w:hAnsi="华文仿宋" w:eastAsia="仿宋_GB2312" w:cs="宋体"/>
                <w:kern w:val="0"/>
                <w:sz w:val="28"/>
                <w:szCs w:val="28"/>
              </w:rPr>
              <w:t>鲁荣波</w:t>
            </w:r>
          </w:p>
        </w:tc>
        <w:tc>
          <w:tcPr>
            <w:tcW w:w="1289" w:type="dxa"/>
            <w:shd w:val="clear" w:color="auto" w:fill="auto"/>
            <w:vAlign w:val="center"/>
          </w:tcPr>
          <w:p>
            <w:pPr>
              <w:widowControl/>
              <w:snapToGrid w:val="0"/>
              <w:jc w:val="center"/>
              <w:rPr>
                <w:rFonts w:ascii="仿宋_GB2312" w:hAnsi="华文仿宋" w:eastAsia="仿宋_GB2312" w:cs="宋体"/>
                <w:kern w:val="0"/>
                <w:sz w:val="28"/>
                <w:szCs w:val="28"/>
              </w:rPr>
            </w:pPr>
            <w:r>
              <w:rPr>
                <w:rFonts w:hint="eastAsia" w:ascii="仿宋_GB2312" w:hAnsi="华文仿宋" w:eastAsia="仿宋_GB2312" w:cs="宋体"/>
                <w:kern w:val="0"/>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20" w:type="dxa"/>
            <w:shd w:val="clear" w:color="auto" w:fill="auto"/>
            <w:vAlign w:val="center"/>
          </w:tcPr>
          <w:p>
            <w:pPr>
              <w:widowControl/>
              <w:snapToGrid w:val="0"/>
              <w:jc w:val="center"/>
              <w:rPr>
                <w:rFonts w:ascii="仿宋_GB2312" w:hAnsi="华文仿宋" w:eastAsia="仿宋_GB2312" w:cs="宋体"/>
                <w:kern w:val="0"/>
                <w:sz w:val="28"/>
                <w:szCs w:val="28"/>
              </w:rPr>
            </w:pPr>
            <w:r>
              <w:rPr>
                <w:rFonts w:hint="eastAsia" w:ascii="仿宋_GB2312" w:hAnsi="华文仿宋" w:eastAsia="仿宋_GB2312" w:cs="宋体"/>
                <w:kern w:val="0"/>
                <w:sz w:val="28"/>
                <w:szCs w:val="28"/>
              </w:rPr>
              <w:t>2</w:t>
            </w:r>
          </w:p>
        </w:tc>
        <w:tc>
          <w:tcPr>
            <w:tcW w:w="2848" w:type="dxa"/>
            <w:shd w:val="clear" w:color="auto" w:fill="auto"/>
            <w:vAlign w:val="center"/>
          </w:tcPr>
          <w:p>
            <w:pPr>
              <w:widowControl/>
              <w:snapToGrid w:val="0"/>
              <w:rPr>
                <w:rFonts w:ascii="仿宋_GB2312" w:hAnsi="华文仿宋" w:eastAsia="仿宋_GB2312" w:cs="宋体"/>
                <w:kern w:val="0"/>
                <w:sz w:val="28"/>
                <w:szCs w:val="28"/>
              </w:rPr>
            </w:pPr>
            <w:r>
              <w:rPr>
                <w:rFonts w:hint="eastAsia" w:ascii="仿宋_GB2312" w:hAnsi="华文仿宋" w:eastAsia="仿宋_GB2312" w:cs="宋体"/>
                <w:kern w:val="0"/>
                <w:sz w:val="28"/>
                <w:szCs w:val="28"/>
              </w:rPr>
              <w:t>土木工程与建筑学院</w:t>
            </w:r>
          </w:p>
        </w:tc>
        <w:tc>
          <w:tcPr>
            <w:tcW w:w="2190" w:type="dxa"/>
            <w:shd w:val="clear" w:color="auto" w:fill="auto"/>
            <w:vAlign w:val="center"/>
          </w:tcPr>
          <w:p>
            <w:pPr>
              <w:widowControl/>
              <w:snapToGrid w:val="0"/>
              <w:rPr>
                <w:rFonts w:ascii="仿宋_GB2312" w:hAnsi="华文仿宋" w:eastAsia="仿宋_GB2312" w:cs="宋体"/>
                <w:kern w:val="0"/>
                <w:sz w:val="28"/>
                <w:szCs w:val="28"/>
              </w:rPr>
            </w:pPr>
            <w:r>
              <w:rPr>
                <w:rFonts w:hint="eastAsia" w:ascii="仿宋_GB2312" w:hAnsi="华文仿宋" w:eastAsia="仿宋_GB2312" w:cs="宋体"/>
                <w:kern w:val="0"/>
                <w:sz w:val="28"/>
                <w:szCs w:val="28"/>
              </w:rPr>
              <w:t>土木工程</w:t>
            </w:r>
          </w:p>
        </w:tc>
        <w:tc>
          <w:tcPr>
            <w:tcW w:w="1095" w:type="dxa"/>
            <w:shd w:val="clear" w:color="auto" w:fill="auto"/>
            <w:vAlign w:val="center"/>
          </w:tcPr>
          <w:p>
            <w:pPr>
              <w:widowControl/>
              <w:snapToGrid w:val="0"/>
              <w:jc w:val="center"/>
              <w:rPr>
                <w:rFonts w:ascii="仿宋_GB2312" w:hAnsi="华文仿宋" w:eastAsia="仿宋_GB2312" w:cs="宋体"/>
                <w:kern w:val="0"/>
                <w:sz w:val="28"/>
                <w:szCs w:val="28"/>
              </w:rPr>
            </w:pPr>
            <w:r>
              <w:rPr>
                <w:rFonts w:hint="eastAsia" w:ascii="仿宋_GB2312" w:hAnsi="华文仿宋" w:eastAsia="仿宋_GB2312" w:cs="宋体"/>
                <w:kern w:val="0"/>
                <w:sz w:val="28"/>
                <w:szCs w:val="28"/>
              </w:rPr>
              <w:t>陈国平</w:t>
            </w:r>
          </w:p>
        </w:tc>
        <w:tc>
          <w:tcPr>
            <w:tcW w:w="1289" w:type="dxa"/>
            <w:shd w:val="clear" w:color="auto" w:fill="auto"/>
            <w:vAlign w:val="center"/>
          </w:tcPr>
          <w:p>
            <w:pPr>
              <w:widowControl/>
              <w:snapToGrid w:val="0"/>
              <w:jc w:val="center"/>
              <w:rPr>
                <w:rFonts w:ascii="仿宋_GB2312" w:hAnsi="华文仿宋" w:eastAsia="仿宋_GB2312" w:cs="宋体"/>
                <w:kern w:val="0"/>
                <w:sz w:val="28"/>
                <w:szCs w:val="28"/>
              </w:rPr>
            </w:pPr>
            <w:r>
              <w:rPr>
                <w:rFonts w:hint="eastAsia" w:ascii="仿宋_GB2312" w:hAnsi="华文仿宋" w:eastAsia="仿宋_GB2312" w:cs="宋体"/>
                <w:kern w:val="0"/>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20" w:type="dxa"/>
            <w:shd w:val="clear" w:color="auto" w:fill="auto"/>
            <w:vAlign w:val="center"/>
          </w:tcPr>
          <w:p>
            <w:pPr>
              <w:widowControl/>
              <w:snapToGrid w:val="0"/>
              <w:jc w:val="center"/>
              <w:rPr>
                <w:rFonts w:ascii="仿宋_GB2312" w:hAnsi="华文仿宋" w:eastAsia="仿宋_GB2312" w:cs="宋体"/>
                <w:kern w:val="0"/>
                <w:sz w:val="28"/>
                <w:szCs w:val="28"/>
              </w:rPr>
            </w:pPr>
            <w:r>
              <w:rPr>
                <w:rFonts w:hint="eastAsia" w:ascii="仿宋_GB2312" w:hAnsi="华文仿宋" w:eastAsia="仿宋_GB2312" w:cs="宋体"/>
                <w:kern w:val="0"/>
                <w:sz w:val="28"/>
                <w:szCs w:val="28"/>
              </w:rPr>
              <w:t>3</w:t>
            </w:r>
          </w:p>
        </w:tc>
        <w:tc>
          <w:tcPr>
            <w:tcW w:w="2848" w:type="dxa"/>
            <w:shd w:val="clear" w:color="auto" w:fill="auto"/>
            <w:vAlign w:val="center"/>
          </w:tcPr>
          <w:p>
            <w:pPr>
              <w:widowControl/>
              <w:snapToGrid w:val="0"/>
              <w:rPr>
                <w:rFonts w:ascii="仿宋_GB2312" w:hAnsi="华文仿宋" w:eastAsia="仿宋_GB2312" w:cs="宋体"/>
                <w:kern w:val="0"/>
                <w:sz w:val="28"/>
                <w:szCs w:val="28"/>
              </w:rPr>
            </w:pPr>
            <w:r>
              <w:rPr>
                <w:rFonts w:hint="eastAsia" w:ascii="仿宋_GB2312" w:hAnsi="华文仿宋" w:eastAsia="仿宋_GB2312" w:cs="宋体"/>
                <w:kern w:val="0"/>
                <w:sz w:val="28"/>
                <w:szCs w:val="28"/>
              </w:rPr>
              <w:t>数学与统计学院</w:t>
            </w:r>
          </w:p>
        </w:tc>
        <w:tc>
          <w:tcPr>
            <w:tcW w:w="2190" w:type="dxa"/>
            <w:shd w:val="clear" w:color="auto" w:fill="auto"/>
            <w:vAlign w:val="center"/>
          </w:tcPr>
          <w:p>
            <w:pPr>
              <w:widowControl/>
              <w:snapToGrid w:val="0"/>
              <w:rPr>
                <w:rFonts w:ascii="仿宋_GB2312" w:hAnsi="华文仿宋" w:eastAsia="仿宋_GB2312" w:cs="宋体"/>
                <w:kern w:val="0"/>
                <w:sz w:val="28"/>
                <w:szCs w:val="28"/>
              </w:rPr>
            </w:pPr>
            <w:r>
              <w:rPr>
                <w:rFonts w:hint="eastAsia" w:ascii="仿宋_GB2312" w:hAnsi="华文仿宋" w:eastAsia="仿宋_GB2312" w:cs="宋体"/>
                <w:kern w:val="0"/>
                <w:sz w:val="28"/>
                <w:szCs w:val="28"/>
              </w:rPr>
              <w:t>数学与应用数学</w:t>
            </w:r>
          </w:p>
        </w:tc>
        <w:tc>
          <w:tcPr>
            <w:tcW w:w="1095" w:type="dxa"/>
            <w:shd w:val="clear" w:color="auto" w:fill="auto"/>
            <w:vAlign w:val="center"/>
          </w:tcPr>
          <w:p>
            <w:pPr>
              <w:widowControl/>
              <w:snapToGrid w:val="0"/>
              <w:jc w:val="center"/>
              <w:rPr>
                <w:rFonts w:ascii="仿宋_GB2312" w:hAnsi="华文仿宋" w:eastAsia="仿宋_GB2312" w:cs="宋体"/>
                <w:kern w:val="0"/>
                <w:sz w:val="28"/>
                <w:szCs w:val="28"/>
              </w:rPr>
            </w:pPr>
            <w:r>
              <w:rPr>
                <w:rFonts w:hint="eastAsia" w:ascii="仿宋_GB2312" w:hAnsi="华文仿宋" w:eastAsia="仿宋_GB2312" w:cs="宋体"/>
                <w:kern w:val="0"/>
                <w:sz w:val="28"/>
                <w:szCs w:val="28"/>
              </w:rPr>
              <w:t>方东辉</w:t>
            </w:r>
          </w:p>
        </w:tc>
        <w:tc>
          <w:tcPr>
            <w:tcW w:w="1289" w:type="dxa"/>
            <w:shd w:val="clear" w:color="auto" w:fill="auto"/>
            <w:vAlign w:val="center"/>
          </w:tcPr>
          <w:p>
            <w:pPr>
              <w:widowControl/>
              <w:snapToGrid w:val="0"/>
              <w:jc w:val="center"/>
              <w:rPr>
                <w:rFonts w:ascii="仿宋_GB2312" w:hAnsi="华文仿宋" w:eastAsia="仿宋_GB2312" w:cs="宋体"/>
                <w:kern w:val="0"/>
                <w:sz w:val="28"/>
                <w:szCs w:val="28"/>
              </w:rPr>
            </w:pPr>
            <w:r>
              <w:rPr>
                <w:rFonts w:hint="eastAsia" w:ascii="仿宋_GB2312" w:hAnsi="华文仿宋" w:eastAsia="仿宋_GB2312" w:cs="宋体"/>
                <w:kern w:val="0"/>
                <w:sz w:val="28"/>
                <w:szCs w:val="28"/>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20" w:type="dxa"/>
            <w:shd w:val="clear" w:color="auto" w:fill="auto"/>
            <w:vAlign w:val="center"/>
          </w:tcPr>
          <w:p>
            <w:pPr>
              <w:widowControl/>
              <w:snapToGrid w:val="0"/>
              <w:jc w:val="center"/>
              <w:rPr>
                <w:rFonts w:ascii="仿宋_GB2312" w:hAnsi="华文仿宋" w:eastAsia="仿宋_GB2312" w:cs="宋体"/>
                <w:kern w:val="0"/>
                <w:sz w:val="28"/>
                <w:szCs w:val="28"/>
              </w:rPr>
            </w:pPr>
            <w:r>
              <w:rPr>
                <w:rFonts w:hint="eastAsia" w:ascii="仿宋_GB2312" w:hAnsi="华文仿宋" w:eastAsia="仿宋_GB2312" w:cs="宋体"/>
                <w:kern w:val="0"/>
                <w:sz w:val="28"/>
                <w:szCs w:val="28"/>
              </w:rPr>
              <w:t>4</w:t>
            </w:r>
          </w:p>
        </w:tc>
        <w:tc>
          <w:tcPr>
            <w:tcW w:w="2848" w:type="dxa"/>
            <w:shd w:val="clear" w:color="auto" w:fill="auto"/>
            <w:vAlign w:val="center"/>
          </w:tcPr>
          <w:p>
            <w:pPr>
              <w:widowControl/>
              <w:snapToGrid w:val="0"/>
              <w:rPr>
                <w:rFonts w:ascii="仿宋_GB2312" w:hAnsi="华文仿宋" w:eastAsia="仿宋_GB2312" w:cs="宋体"/>
                <w:kern w:val="0"/>
                <w:sz w:val="28"/>
                <w:szCs w:val="28"/>
              </w:rPr>
            </w:pPr>
            <w:r>
              <w:rPr>
                <w:rFonts w:hint="eastAsia" w:ascii="仿宋_GB2312" w:hAnsi="华文仿宋" w:eastAsia="仿宋_GB2312" w:cs="宋体"/>
                <w:kern w:val="0"/>
                <w:sz w:val="28"/>
                <w:szCs w:val="28"/>
              </w:rPr>
              <w:t>化学化工学院</w:t>
            </w:r>
          </w:p>
        </w:tc>
        <w:tc>
          <w:tcPr>
            <w:tcW w:w="2190" w:type="dxa"/>
            <w:shd w:val="clear" w:color="auto" w:fill="auto"/>
            <w:vAlign w:val="center"/>
          </w:tcPr>
          <w:p>
            <w:pPr>
              <w:widowControl/>
              <w:snapToGrid w:val="0"/>
              <w:rPr>
                <w:rFonts w:ascii="仿宋_GB2312" w:hAnsi="华文仿宋" w:eastAsia="仿宋_GB2312" w:cs="宋体"/>
                <w:kern w:val="0"/>
                <w:sz w:val="28"/>
                <w:szCs w:val="28"/>
              </w:rPr>
            </w:pPr>
            <w:r>
              <w:rPr>
                <w:rFonts w:hint="eastAsia" w:ascii="仿宋_GB2312" w:hAnsi="华文仿宋" w:eastAsia="仿宋_GB2312" w:cs="宋体"/>
                <w:kern w:val="0"/>
                <w:sz w:val="28"/>
                <w:szCs w:val="28"/>
              </w:rPr>
              <w:t>食品科学与工程</w:t>
            </w:r>
          </w:p>
        </w:tc>
        <w:tc>
          <w:tcPr>
            <w:tcW w:w="1095" w:type="dxa"/>
            <w:shd w:val="clear" w:color="auto" w:fill="auto"/>
            <w:vAlign w:val="center"/>
          </w:tcPr>
          <w:p>
            <w:pPr>
              <w:widowControl/>
              <w:snapToGrid w:val="0"/>
              <w:jc w:val="center"/>
              <w:rPr>
                <w:rFonts w:ascii="仿宋_GB2312" w:hAnsi="华文仿宋" w:eastAsia="仿宋_GB2312" w:cs="宋体"/>
                <w:kern w:val="0"/>
                <w:sz w:val="28"/>
                <w:szCs w:val="28"/>
              </w:rPr>
            </w:pPr>
            <w:r>
              <w:rPr>
                <w:rFonts w:hint="eastAsia" w:ascii="仿宋_GB2312" w:hAnsi="华文仿宋" w:eastAsia="仿宋_GB2312" w:cs="宋体"/>
                <w:kern w:val="0"/>
                <w:sz w:val="28"/>
                <w:szCs w:val="28"/>
              </w:rPr>
              <w:t>颜文斌</w:t>
            </w:r>
          </w:p>
        </w:tc>
        <w:tc>
          <w:tcPr>
            <w:tcW w:w="1289" w:type="dxa"/>
            <w:shd w:val="clear" w:color="auto" w:fill="auto"/>
            <w:vAlign w:val="center"/>
          </w:tcPr>
          <w:p>
            <w:pPr>
              <w:widowControl/>
              <w:snapToGrid w:val="0"/>
              <w:jc w:val="center"/>
              <w:rPr>
                <w:rFonts w:ascii="仿宋_GB2312" w:hAnsi="华文仿宋" w:eastAsia="仿宋_GB2312" w:cs="宋体"/>
                <w:kern w:val="0"/>
                <w:sz w:val="28"/>
                <w:szCs w:val="28"/>
              </w:rPr>
            </w:pPr>
            <w:r>
              <w:rPr>
                <w:rFonts w:hint="eastAsia" w:ascii="仿宋_GB2312" w:hAnsi="华文仿宋" w:eastAsia="仿宋_GB2312" w:cs="宋体"/>
                <w:kern w:val="0"/>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20" w:type="dxa"/>
            <w:shd w:val="clear" w:color="auto" w:fill="auto"/>
            <w:vAlign w:val="center"/>
          </w:tcPr>
          <w:p>
            <w:pPr>
              <w:widowControl/>
              <w:snapToGrid w:val="0"/>
              <w:jc w:val="center"/>
              <w:rPr>
                <w:rFonts w:ascii="仿宋_GB2312" w:hAnsi="华文仿宋" w:eastAsia="仿宋_GB2312" w:cs="宋体"/>
                <w:kern w:val="0"/>
                <w:sz w:val="28"/>
                <w:szCs w:val="28"/>
              </w:rPr>
            </w:pPr>
            <w:r>
              <w:rPr>
                <w:rFonts w:hint="eastAsia" w:ascii="仿宋_GB2312" w:hAnsi="华文仿宋" w:eastAsia="仿宋_GB2312" w:cs="宋体"/>
                <w:kern w:val="0"/>
                <w:sz w:val="28"/>
                <w:szCs w:val="28"/>
              </w:rPr>
              <w:t>5</w:t>
            </w:r>
          </w:p>
        </w:tc>
        <w:tc>
          <w:tcPr>
            <w:tcW w:w="2848" w:type="dxa"/>
            <w:shd w:val="clear" w:color="auto" w:fill="auto"/>
            <w:vAlign w:val="center"/>
          </w:tcPr>
          <w:p>
            <w:pPr>
              <w:widowControl/>
              <w:snapToGrid w:val="0"/>
              <w:rPr>
                <w:rFonts w:ascii="仿宋_GB2312" w:hAnsi="华文仿宋" w:eastAsia="仿宋_GB2312" w:cs="宋体"/>
                <w:kern w:val="0"/>
                <w:sz w:val="28"/>
                <w:szCs w:val="28"/>
              </w:rPr>
            </w:pPr>
            <w:r>
              <w:rPr>
                <w:rFonts w:hint="eastAsia" w:ascii="仿宋_GB2312" w:hAnsi="华文仿宋" w:eastAsia="仿宋_GB2312" w:cs="宋体"/>
                <w:kern w:val="0"/>
                <w:sz w:val="28"/>
                <w:szCs w:val="28"/>
              </w:rPr>
              <w:t>文学与新闻传播学院</w:t>
            </w:r>
          </w:p>
        </w:tc>
        <w:tc>
          <w:tcPr>
            <w:tcW w:w="2190" w:type="dxa"/>
            <w:shd w:val="clear" w:color="auto" w:fill="auto"/>
            <w:vAlign w:val="center"/>
          </w:tcPr>
          <w:p>
            <w:pPr>
              <w:widowControl/>
              <w:snapToGrid w:val="0"/>
              <w:rPr>
                <w:rFonts w:ascii="仿宋_GB2312" w:hAnsi="华文仿宋" w:eastAsia="仿宋_GB2312" w:cs="宋体"/>
                <w:kern w:val="0"/>
                <w:sz w:val="28"/>
                <w:szCs w:val="28"/>
              </w:rPr>
            </w:pPr>
            <w:r>
              <w:rPr>
                <w:rFonts w:hint="eastAsia" w:ascii="仿宋_GB2312" w:hAnsi="华文仿宋" w:eastAsia="仿宋_GB2312" w:cs="宋体"/>
                <w:kern w:val="0"/>
                <w:sz w:val="28"/>
                <w:szCs w:val="28"/>
              </w:rPr>
              <w:t>汉语言文学</w:t>
            </w:r>
          </w:p>
        </w:tc>
        <w:tc>
          <w:tcPr>
            <w:tcW w:w="1095" w:type="dxa"/>
            <w:shd w:val="clear" w:color="auto" w:fill="auto"/>
            <w:vAlign w:val="center"/>
          </w:tcPr>
          <w:p>
            <w:pPr>
              <w:widowControl/>
              <w:snapToGrid w:val="0"/>
              <w:jc w:val="center"/>
              <w:rPr>
                <w:rFonts w:ascii="仿宋_GB2312" w:hAnsi="华文仿宋" w:eastAsia="仿宋_GB2312" w:cs="宋体"/>
                <w:kern w:val="0"/>
                <w:sz w:val="28"/>
                <w:szCs w:val="28"/>
              </w:rPr>
            </w:pPr>
            <w:r>
              <w:rPr>
                <w:rFonts w:hint="eastAsia" w:ascii="仿宋_GB2312" w:hAnsi="华文仿宋" w:eastAsia="仿宋_GB2312" w:cs="宋体"/>
                <w:kern w:val="0"/>
                <w:sz w:val="28"/>
                <w:szCs w:val="28"/>
              </w:rPr>
              <w:t>张利玲</w:t>
            </w:r>
          </w:p>
        </w:tc>
        <w:tc>
          <w:tcPr>
            <w:tcW w:w="1289" w:type="dxa"/>
            <w:shd w:val="clear" w:color="auto" w:fill="auto"/>
            <w:vAlign w:val="center"/>
          </w:tcPr>
          <w:p>
            <w:pPr>
              <w:widowControl/>
              <w:snapToGrid w:val="0"/>
              <w:jc w:val="center"/>
              <w:rPr>
                <w:rFonts w:ascii="仿宋_GB2312" w:hAnsi="华文仿宋" w:eastAsia="仿宋_GB2312" w:cs="宋体"/>
                <w:kern w:val="0"/>
                <w:sz w:val="28"/>
                <w:szCs w:val="28"/>
              </w:rPr>
            </w:pPr>
            <w:r>
              <w:rPr>
                <w:rFonts w:hint="eastAsia" w:ascii="仿宋_GB2312" w:hAnsi="华文仿宋" w:eastAsia="仿宋_GB2312" w:cs="宋体"/>
                <w:kern w:val="0"/>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20" w:type="dxa"/>
            <w:shd w:val="clear" w:color="auto" w:fill="auto"/>
            <w:vAlign w:val="center"/>
          </w:tcPr>
          <w:p>
            <w:pPr>
              <w:widowControl/>
              <w:snapToGrid w:val="0"/>
              <w:jc w:val="center"/>
              <w:rPr>
                <w:rFonts w:ascii="仿宋_GB2312" w:hAnsi="华文仿宋" w:eastAsia="仿宋_GB2312" w:cs="宋体"/>
                <w:kern w:val="0"/>
                <w:sz w:val="28"/>
                <w:szCs w:val="28"/>
              </w:rPr>
            </w:pPr>
            <w:r>
              <w:rPr>
                <w:rFonts w:hint="eastAsia" w:ascii="仿宋_GB2312" w:hAnsi="华文仿宋" w:eastAsia="仿宋_GB2312" w:cs="宋体"/>
                <w:kern w:val="0"/>
                <w:sz w:val="28"/>
                <w:szCs w:val="28"/>
              </w:rPr>
              <w:t>6</w:t>
            </w:r>
          </w:p>
        </w:tc>
        <w:tc>
          <w:tcPr>
            <w:tcW w:w="2848" w:type="dxa"/>
            <w:shd w:val="clear" w:color="auto" w:fill="auto"/>
            <w:vAlign w:val="center"/>
          </w:tcPr>
          <w:p>
            <w:pPr>
              <w:widowControl/>
              <w:snapToGrid w:val="0"/>
              <w:rPr>
                <w:rFonts w:ascii="仿宋_GB2312" w:hAnsi="华文仿宋" w:eastAsia="仿宋_GB2312" w:cs="宋体"/>
                <w:kern w:val="0"/>
                <w:sz w:val="28"/>
                <w:szCs w:val="28"/>
              </w:rPr>
            </w:pPr>
            <w:r>
              <w:rPr>
                <w:rFonts w:hint="eastAsia" w:ascii="仿宋_GB2312" w:hAnsi="华文仿宋" w:eastAsia="仿宋_GB2312" w:cs="宋体"/>
                <w:kern w:val="0"/>
                <w:sz w:val="28"/>
                <w:szCs w:val="28"/>
              </w:rPr>
              <w:t>旅游与管理工程学院</w:t>
            </w:r>
          </w:p>
        </w:tc>
        <w:tc>
          <w:tcPr>
            <w:tcW w:w="2190" w:type="dxa"/>
            <w:shd w:val="clear" w:color="auto" w:fill="auto"/>
            <w:vAlign w:val="center"/>
          </w:tcPr>
          <w:p>
            <w:pPr>
              <w:widowControl/>
              <w:snapToGrid w:val="0"/>
              <w:rPr>
                <w:rFonts w:ascii="仿宋_GB2312" w:hAnsi="华文仿宋" w:eastAsia="仿宋_GB2312" w:cs="宋体"/>
                <w:kern w:val="0"/>
                <w:sz w:val="28"/>
                <w:szCs w:val="28"/>
              </w:rPr>
            </w:pPr>
            <w:r>
              <w:rPr>
                <w:rFonts w:hint="eastAsia" w:ascii="仿宋_GB2312" w:hAnsi="华文仿宋" w:eastAsia="仿宋_GB2312" w:cs="宋体"/>
                <w:kern w:val="0"/>
                <w:sz w:val="28"/>
                <w:szCs w:val="28"/>
              </w:rPr>
              <w:t>旅游管理</w:t>
            </w:r>
          </w:p>
        </w:tc>
        <w:tc>
          <w:tcPr>
            <w:tcW w:w="1095" w:type="dxa"/>
            <w:shd w:val="clear" w:color="auto" w:fill="auto"/>
            <w:vAlign w:val="center"/>
          </w:tcPr>
          <w:p>
            <w:pPr>
              <w:widowControl/>
              <w:snapToGrid w:val="0"/>
              <w:jc w:val="center"/>
              <w:rPr>
                <w:rFonts w:ascii="仿宋_GB2312" w:hAnsi="华文仿宋" w:eastAsia="仿宋_GB2312" w:cs="宋体"/>
                <w:kern w:val="0"/>
                <w:sz w:val="28"/>
                <w:szCs w:val="28"/>
              </w:rPr>
            </w:pPr>
            <w:r>
              <w:rPr>
                <w:rFonts w:hint="eastAsia" w:ascii="仿宋_GB2312" w:hAnsi="华文仿宋" w:eastAsia="仿宋_GB2312" w:cs="宋体"/>
                <w:kern w:val="0"/>
                <w:sz w:val="28"/>
                <w:szCs w:val="28"/>
              </w:rPr>
              <w:t>尹华光</w:t>
            </w:r>
          </w:p>
        </w:tc>
        <w:tc>
          <w:tcPr>
            <w:tcW w:w="1289" w:type="dxa"/>
            <w:shd w:val="clear" w:color="auto" w:fill="auto"/>
            <w:vAlign w:val="center"/>
          </w:tcPr>
          <w:p>
            <w:pPr>
              <w:widowControl/>
              <w:snapToGrid w:val="0"/>
              <w:jc w:val="center"/>
              <w:rPr>
                <w:rFonts w:ascii="仿宋_GB2312" w:hAnsi="华文仿宋" w:eastAsia="仿宋_GB2312" w:cs="宋体"/>
                <w:kern w:val="0"/>
                <w:sz w:val="28"/>
                <w:szCs w:val="28"/>
              </w:rPr>
            </w:pPr>
            <w:r>
              <w:rPr>
                <w:rFonts w:hint="eastAsia" w:ascii="仿宋_GB2312" w:hAnsi="华文仿宋" w:eastAsia="仿宋_GB2312" w:cs="宋体"/>
                <w:kern w:val="0"/>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20" w:type="dxa"/>
            <w:shd w:val="clear" w:color="auto" w:fill="auto"/>
            <w:vAlign w:val="center"/>
          </w:tcPr>
          <w:p>
            <w:pPr>
              <w:widowControl/>
              <w:snapToGrid w:val="0"/>
              <w:jc w:val="center"/>
              <w:rPr>
                <w:rFonts w:ascii="仿宋_GB2312" w:hAnsi="华文仿宋" w:eastAsia="仿宋_GB2312" w:cs="宋体"/>
                <w:kern w:val="0"/>
                <w:sz w:val="28"/>
                <w:szCs w:val="28"/>
              </w:rPr>
            </w:pPr>
            <w:r>
              <w:rPr>
                <w:rFonts w:hint="eastAsia" w:ascii="仿宋_GB2312" w:hAnsi="华文仿宋" w:eastAsia="仿宋_GB2312" w:cs="宋体"/>
                <w:kern w:val="0"/>
                <w:sz w:val="28"/>
                <w:szCs w:val="28"/>
              </w:rPr>
              <w:t>7</w:t>
            </w:r>
          </w:p>
        </w:tc>
        <w:tc>
          <w:tcPr>
            <w:tcW w:w="2848" w:type="dxa"/>
            <w:shd w:val="clear" w:color="auto" w:fill="auto"/>
            <w:vAlign w:val="center"/>
          </w:tcPr>
          <w:p>
            <w:pPr>
              <w:widowControl/>
              <w:snapToGrid w:val="0"/>
              <w:rPr>
                <w:rFonts w:ascii="仿宋_GB2312" w:hAnsi="华文仿宋" w:eastAsia="仿宋_GB2312" w:cs="宋体"/>
                <w:kern w:val="0"/>
                <w:sz w:val="28"/>
                <w:szCs w:val="28"/>
              </w:rPr>
            </w:pPr>
            <w:r>
              <w:rPr>
                <w:rFonts w:hint="eastAsia" w:ascii="仿宋_GB2312" w:hAnsi="华文仿宋" w:eastAsia="仿宋_GB2312" w:cs="宋体"/>
                <w:kern w:val="0"/>
                <w:sz w:val="28"/>
                <w:szCs w:val="28"/>
              </w:rPr>
              <w:t>商学院</w:t>
            </w:r>
          </w:p>
        </w:tc>
        <w:tc>
          <w:tcPr>
            <w:tcW w:w="2190" w:type="dxa"/>
            <w:shd w:val="clear" w:color="auto" w:fill="auto"/>
            <w:vAlign w:val="center"/>
          </w:tcPr>
          <w:p>
            <w:pPr>
              <w:widowControl/>
              <w:snapToGrid w:val="0"/>
              <w:rPr>
                <w:rFonts w:ascii="仿宋_GB2312" w:hAnsi="华文仿宋" w:eastAsia="仿宋_GB2312" w:cs="宋体"/>
                <w:color w:val="FF0000"/>
                <w:kern w:val="0"/>
                <w:sz w:val="28"/>
                <w:szCs w:val="28"/>
              </w:rPr>
            </w:pPr>
            <w:r>
              <w:rPr>
                <w:rFonts w:hint="eastAsia" w:ascii="仿宋_GB2312" w:hAnsi="华文仿宋" w:eastAsia="仿宋_GB2312" w:cs="宋体"/>
                <w:kern w:val="0"/>
                <w:sz w:val="28"/>
                <w:szCs w:val="28"/>
              </w:rPr>
              <w:t>工商管理</w:t>
            </w:r>
          </w:p>
        </w:tc>
        <w:tc>
          <w:tcPr>
            <w:tcW w:w="1095" w:type="dxa"/>
            <w:shd w:val="clear" w:color="auto" w:fill="auto"/>
            <w:vAlign w:val="center"/>
          </w:tcPr>
          <w:p>
            <w:pPr>
              <w:widowControl/>
              <w:snapToGrid w:val="0"/>
              <w:jc w:val="center"/>
              <w:rPr>
                <w:rFonts w:ascii="仿宋_GB2312" w:hAnsi="华文仿宋" w:eastAsia="仿宋_GB2312" w:cs="宋体"/>
                <w:kern w:val="0"/>
                <w:sz w:val="28"/>
                <w:szCs w:val="28"/>
              </w:rPr>
            </w:pPr>
            <w:r>
              <w:rPr>
                <w:rFonts w:hint="eastAsia" w:ascii="仿宋_GB2312" w:hAnsi="华文仿宋" w:eastAsia="仿宋_GB2312" w:cs="宋体"/>
                <w:kern w:val="0"/>
                <w:sz w:val="28"/>
                <w:szCs w:val="28"/>
              </w:rPr>
              <w:t>冷</w:t>
            </w:r>
            <w:r>
              <w:rPr>
                <w:rFonts w:ascii="仿宋_GB2312" w:hAnsi="华文仿宋" w:eastAsia="仿宋_GB2312" w:cs="宋体"/>
                <w:kern w:val="0"/>
                <w:sz w:val="28"/>
                <w:szCs w:val="28"/>
              </w:rPr>
              <w:t>志明</w:t>
            </w:r>
          </w:p>
        </w:tc>
        <w:tc>
          <w:tcPr>
            <w:tcW w:w="1289" w:type="dxa"/>
            <w:shd w:val="clear" w:color="auto" w:fill="auto"/>
            <w:vAlign w:val="center"/>
          </w:tcPr>
          <w:p>
            <w:pPr>
              <w:widowControl/>
              <w:snapToGrid w:val="0"/>
              <w:jc w:val="center"/>
              <w:rPr>
                <w:rFonts w:ascii="仿宋_GB2312" w:hAnsi="华文仿宋" w:eastAsia="仿宋_GB2312" w:cs="宋体"/>
                <w:kern w:val="0"/>
                <w:sz w:val="28"/>
                <w:szCs w:val="28"/>
              </w:rPr>
            </w:pPr>
            <w:r>
              <w:rPr>
                <w:rFonts w:hint="eastAsia" w:ascii="仿宋_GB2312" w:hAnsi="华文仿宋" w:eastAsia="仿宋_GB2312" w:cs="宋体"/>
                <w:kern w:val="0"/>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20" w:type="dxa"/>
            <w:shd w:val="clear" w:color="auto" w:fill="auto"/>
            <w:vAlign w:val="center"/>
          </w:tcPr>
          <w:p>
            <w:pPr>
              <w:widowControl/>
              <w:snapToGrid w:val="0"/>
              <w:jc w:val="center"/>
              <w:rPr>
                <w:rFonts w:ascii="仿宋_GB2312" w:hAnsi="华文仿宋" w:eastAsia="仿宋_GB2312" w:cs="宋体"/>
                <w:kern w:val="0"/>
                <w:sz w:val="28"/>
                <w:szCs w:val="28"/>
              </w:rPr>
            </w:pPr>
            <w:r>
              <w:rPr>
                <w:rFonts w:hint="eastAsia" w:ascii="仿宋_GB2312" w:hAnsi="华文仿宋" w:eastAsia="仿宋_GB2312" w:cs="宋体"/>
                <w:kern w:val="0"/>
                <w:sz w:val="28"/>
                <w:szCs w:val="28"/>
              </w:rPr>
              <w:t>8</w:t>
            </w:r>
          </w:p>
        </w:tc>
        <w:tc>
          <w:tcPr>
            <w:tcW w:w="2848" w:type="dxa"/>
            <w:shd w:val="clear" w:color="auto" w:fill="auto"/>
            <w:vAlign w:val="center"/>
          </w:tcPr>
          <w:p>
            <w:pPr>
              <w:widowControl/>
              <w:snapToGrid w:val="0"/>
              <w:rPr>
                <w:rFonts w:ascii="仿宋_GB2312" w:hAnsi="华文仿宋" w:eastAsia="仿宋_GB2312" w:cs="宋体"/>
                <w:kern w:val="0"/>
                <w:sz w:val="28"/>
                <w:szCs w:val="28"/>
              </w:rPr>
            </w:pPr>
            <w:r>
              <w:rPr>
                <w:rFonts w:hint="eastAsia" w:ascii="仿宋_GB2312" w:hAnsi="华文仿宋" w:eastAsia="仿宋_GB2312" w:cs="宋体"/>
                <w:kern w:val="0"/>
                <w:sz w:val="28"/>
                <w:szCs w:val="28"/>
              </w:rPr>
              <w:t>文学与新闻传播学院</w:t>
            </w:r>
          </w:p>
        </w:tc>
        <w:tc>
          <w:tcPr>
            <w:tcW w:w="2190" w:type="dxa"/>
            <w:shd w:val="clear" w:color="auto" w:fill="auto"/>
            <w:vAlign w:val="center"/>
          </w:tcPr>
          <w:p>
            <w:pPr>
              <w:widowControl/>
              <w:snapToGrid w:val="0"/>
              <w:rPr>
                <w:rFonts w:ascii="仿宋_GB2312" w:hAnsi="华文仿宋" w:eastAsia="仿宋_GB2312" w:cs="宋体"/>
                <w:kern w:val="0"/>
                <w:sz w:val="28"/>
                <w:szCs w:val="28"/>
              </w:rPr>
            </w:pPr>
            <w:r>
              <w:rPr>
                <w:rFonts w:hint="eastAsia" w:ascii="仿宋_GB2312" w:hAnsi="华文仿宋" w:eastAsia="仿宋_GB2312" w:cs="宋体"/>
                <w:kern w:val="0"/>
                <w:sz w:val="28"/>
                <w:szCs w:val="28"/>
              </w:rPr>
              <w:t>新闻学</w:t>
            </w:r>
          </w:p>
        </w:tc>
        <w:tc>
          <w:tcPr>
            <w:tcW w:w="1095" w:type="dxa"/>
            <w:shd w:val="clear" w:color="auto" w:fill="auto"/>
            <w:vAlign w:val="center"/>
          </w:tcPr>
          <w:p>
            <w:pPr>
              <w:widowControl/>
              <w:snapToGrid w:val="0"/>
              <w:jc w:val="center"/>
              <w:rPr>
                <w:rFonts w:ascii="仿宋_GB2312" w:hAnsi="华文仿宋" w:eastAsia="仿宋_GB2312" w:cs="宋体"/>
                <w:kern w:val="0"/>
                <w:sz w:val="28"/>
                <w:szCs w:val="28"/>
              </w:rPr>
            </w:pPr>
            <w:r>
              <w:rPr>
                <w:rFonts w:hint="eastAsia" w:ascii="仿宋_GB2312" w:hAnsi="华文仿宋" w:eastAsia="仿宋_GB2312" w:cs="宋体"/>
                <w:kern w:val="0"/>
                <w:sz w:val="28"/>
                <w:szCs w:val="28"/>
              </w:rPr>
              <w:t>罗惠缙</w:t>
            </w:r>
          </w:p>
        </w:tc>
        <w:tc>
          <w:tcPr>
            <w:tcW w:w="1289" w:type="dxa"/>
            <w:shd w:val="clear" w:color="auto" w:fill="auto"/>
            <w:vAlign w:val="center"/>
          </w:tcPr>
          <w:p>
            <w:pPr>
              <w:widowControl/>
              <w:snapToGrid w:val="0"/>
              <w:jc w:val="center"/>
              <w:rPr>
                <w:rFonts w:ascii="仿宋_GB2312" w:hAnsi="华文仿宋" w:eastAsia="仿宋_GB2312" w:cs="宋体"/>
                <w:kern w:val="0"/>
                <w:sz w:val="28"/>
                <w:szCs w:val="28"/>
              </w:rPr>
            </w:pPr>
            <w:r>
              <w:rPr>
                <w:rFonts w:hint="eastAsia" w:ascii="仿宋_GB2312" w:hAnsi="华文仿宋" w:eastAsia="仿宋_GB2312" w:cs="宋体"/>
                <w:kern w:val="0"/>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20" w:type="dxa"/>
            <w:shd w:val="clear" w:color="auto" w:fill="auto"/>
            <w:vAlign w:val="center"/>
          </w:tcPr>
          <w:p>
            <w:pPr>
              <w:widowControl/>
              <w:snapToGrid w:val="0"/>
              <w:jc w:val="center"/>
              <w:rPr>
                <w:rFonts w:ascii="仿宋_GB2312" w:hAnsi="华文仿宋" w:eastAsia="仿宋_GB2312" w:cs="宋体"/>
                <w:kern w:val="0"/>
                <w:sz w:val="28"/>
                <w:szCs w:val="28"/>
              </w:rPr>
            </w:pPr>
            <w:r>
              <w:rPr>
                <w:rFonts w:hint="eastAsia" w:ascii="仿宋_GB2312" w:hAnsi="华文仿宋" w:eastAsia="仿宋_GB2312" w:cs="宋体"/>
                <w:kern w:val="0"/>
                <w:sz w:val="28"/>
                <w:szCs w:val="28"/>
              </w:rPr>
              <w:t>9</w:t>
            </w:r>
          </w:p>
        </w:tc>
        <w:tc>
          <w:tcPr>
            <w:tcW w:w="2848" w:type="dxa"/>
            <w:shd w:val="clear" w:color="auto" w:fill="auto"/>
            <w:vAlign w:val="center"/>
          </w:tcPr>
          <w:p>
            <w:pPr>
              <w:widowControl/>
              <w:snapToGrid w:val="0"/>
              <w:rPr>
                <w:rFonts w:ascii="仿宋_GB2312" w:hAnsi="华文仿宋" w:eastAsia="仿宋_GB2312" w:cs="宋体"/>
                <w:kern w:val="0"/>
                <w:sz w:val="28"/>
                <w:szCs w:val="28"/>
              </w:rPr>
            </w:pPr>
            <w:r>
              <w:rPr>
                <w:rFonts w:hint="eastAsia" w:ascii="仿宋_GB2312" w:hAnsi="华文仿宋" w:eastAsia="仿宋_GB2312" w:cs="宋体"/>
                <w:kern w:val="0"/>
                <w:sz w:val="28"/>
                <w:szCs w:val="28"/>
              </w:rPr>
              <w:t>软件服务外包学院</w:t>
            </w:r>
          </w:p>
        </w:tc>
        <w:tc>
          <w:tcPr>
            <w:tcW w:w="2190" w:type="dxa"/>
            <w:shd w:val="clear" w:color="auto" w:fill="auto"/>
            <w:vAlign w:val="center"/>
          </w:tcPr>
          <w:p>
            <w:pPr>
              <w:widowControl/>
              <w:snapToGrid w:val="0"/>
              <w:rPr>
                <w:rFonts w:ascii="仿宋_GB2312" w:hAnsi="华文仿宋" w:eastAsia="仿宋_GB2312" w:cs="宋体"/>
                <w:kern w:val="0"/>
                <w:sz w:val="28"/>
                <w:szCs w:val="28"/>
              </w:rPr>
            </w:pPr>
            <w:r>
              <w:rPr>
                <w:rFonts w:hint="eastAsia" w:ascii="仿宋_GB2312" w:hAnsi="华文仿宋" w:eastAsia="仿宋_GB2312" w:cs="宋体"/>
                <w:kern w:val="0"/>
                <w:sz w:val="28"/>
                <w:szCs w:val="28"/>
              </w:rPr>
              <w:t>软件工程</w:t>
            </w:r>
          </w:p>
        </w:tc>
        <w:tc>
          <w:tcPr>
            <w:tcW w:w="1095" w:type="dxa"/>
            <w:shd w:val="clear" w:color="auto" w:fill="auto"/>
            <w:vAlign w:val="center"/>
          </w:tcPr>
          <w:p>
            <w:pPr>
              <w:widowControl/>
              <w:snapToGrid w:val="0"/>
              <w:jc w:val="center"/>
              <w:rPr>
                <w:rFonts w:ascii="仿宋_GB2312" w:hAnsi="华文仿宋" w:eastAsia="仿宋_GB2312" w:cs="宋体"/>
                <w:kern w:val="0"/>
                <w:sz w:val="28"/>
                <w:szCs w:val="28"/>
              </w:rPr>
            </w:pPr>
            <w:r>
              <w:rPr>
                <w:rFonts w:hint="eastAsia" w:ascii="仿宋_GB2312" w:hAnsi="华文仿宋" w:eastAsia="仿宋_GB2312" w:cs="宋体"/>
                <w:kern w:val="0"/>
                <w:sz w:val="28"/>
                <w:szCs w:val="28"/>
              </w:rPr>
              <w:t>周清平</w:t>
            </w:r>
          </w:p>
        </w:tc>
        <w:tc>
          <w:tcPr>
            <w:tcW w:w="1289" w:type="dxa"/>
            <w:shd w:val="clear" w:color="auto" w:fill="auto"/>
            <w:vAlign w:val="center"/>
          </w:tcPr>
          <w:p>
            <w:pPr>
              <w:widowControl/>
              <w:snapToGrid w:val="0"/>
              <w:jc w:val="center"/>
              <w:rPr>
                <w:rFonts w:ascii="仿宋_GB2312" w:hAnsi="华文仿宋" w:eastAsia="仿宋_GB2312" w:cs="宋体"/>
                <w:kern w:val="0"/>
                <w:sz w:val="28"/>
                <w:szCs w:val="28"/>
              </w:rPr>
            </w:pPr>
            <w:r>
              <w:rPr>
                <w:rFonts w:hint="eastAsia" w:ascii="仿宋_GB2312" w:hAnsi="华文仿宋" w:eastAsia="仿宋_GB2312" w:cs="宋体"/>
                <w:kern w:val="0"/>
                <w:sz w:val="28"/>
                <w:szCs w:val="28"/>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20" w:type="dxa"/>
            <w:shd w:val="clear" w:color="auto" w:fill="auto"/>
            <w:vAlign w:val="center"/>
          </w:tcPr>
          <w:p>
            <w:pPr>
              <w:widowControl/>
              <w:snapToGrid w:val="0"/>
              <w:jc w:val="center"/>
              <w:rPr>
                <w:rFonts w:ascii="仿宋_GB2312" w:hAnsi="华文仿宋" w:eastAsia="仿宋_GB2312" w:cs="宋体"/>
                <w:kern w:val="0"/>
                <w:sz w:val="28"/>
                <w:szCs w:val="28"/>
              </w:rPr>
            </w:pPr>
            <w:r>
              <w:rPr>
                <w:rFonts w:hint="eastAsia" w:ascii="仿宋_GB2312" w:hAnsi="华文仿宋" w:eastAsia="仿宋_GB2312" w:cs="宋体"/>
                <w:kern w:val="0"/>
                <w:sz w:val="28"/>
                <w:szCs w:val="28"/>
              </w:rPr>
              <w:t>10</w:t>
            </w:r>
          </w:p>
        </w:tc>
        <w:tc>
          <w:tcPr>
            <w:tcW w:w="2848" w:type="dxa"/>
            <w:shd w:val="clear" w:color="auto" w:fill="auto"/>
            <w:vAlign w:val="center"/>
          </w:tcPr>
          <w:p>
            <w:pPr>
              <w:widowControl/>
              <w:snapToGrid w:val="0"/>
              <w:rPr>
                <w:rFonts w:ascii="仿宋_GB2312" w:hAnsi="华文仿宋" w:eastAsia="仿宋_GB2312" w:cs="宋体"/>
                <w:kern w:val="0"/>
                <w:sz w:val="28"/>
                <w:szCs w:val="28"/>
              </w:rPr>
            </w:pPr>
            <w:r>
              <w:rPr>
                <w:rFonts w:hint="eastAsia" w:ascii="仿宋_GB2312" w:hAnsi="华文仿宋" w:eastAsia="仿宋_GB2312" w:cs="宋体"/>
                <w:kern w:val="0"/>
                <w:sz w:val="28"/>
                <w:szCs w:val="28"/>
              </w:rPr>
              <w:t>医学院</w:t>
            </w:r>
          </w:p>
        </w:tc>
        <w:tc>
          <w:tcPr>
            <w:tcW w:w="2190" w:type="dxa"/>
            <w:shd w:val="clear" w:color="auto" w:fill="auto"/>
            <w:vAlign w:val="center"/>
          </w:tcPr>
          <w:p>
            <w:pPr>
              <w:widowControl/>
              <w:snapToGrid w:val="0"/>
              <w:rPr>
                <w:rFonts w:ascii="仿宋_GB2312" w:hAnsi="华文仿宋" w:eastAsia="仿宋_GB2312" w:cs="宋体"/>
                <w:kern w:val="0"/>
                <w:sz w:val="28"/>
                <w:szCs w:val="28"/>
              </w:rPr>
            </w:pPr>
            <w:r>
              <w:rPr>
                <w:rFonts w:hint="eastAsia" w:ascii="仿宋_GB2312" w:hAnsi="华文仿宋" w:eastAsia="仿宋_GB2312" w:cs="宋体"/>
                <w:kern w:val="0"/>
                <w:sz w:val="28"/>
                <w:szCs w:val="28"/>
              </w:rPr>
              <w:t>临床医学</w:t>
            </w:r>
          </w:p>
        </w:tc>
        <w:tc>
          <w:tcPr>
            <w:tcW w:w="1095" w:type="dxa"/>
            <w:shd w:val="clear" w:color="auto" w:fill="auto"/>
            <w:vAlign w:val="center"/>
          </w:tcPr>
          <w:p>
            <w:pPr>
              <w:widowControl/>
              <w:snapToGrid w:val="0"/>
              <w:jc w:val="center"/>
              <w:rPr>
                <w:rFonts w:ascii="仿宋_GB2312" w:hAnsi="华文仿宋" w:eastAsia="仿宋_GB2312" w:cs="宋体"/>
                <w:kern w:val="0"/>
                <w:sz w:val="28"/>
                <w:szCs w:val="28"/>
              </w:rPr>
            </w:pPr>
            <w:r>
              <w:rPr>
                <w:rFonts w:hint="eastAsia" w:ascii="仿宋_GB2312" w:hAnsi="华文仿宋" w:eastAsia="仿宋_GB2312" w:cs="宋体"/>
                <w:kern w:val="0"/>
                <w:sz w:val="28"/>
                <w:szCs w:val="28"/>
              </w:rPr>
              <w:t>向志钢</w:t>
            </w:r>
          </w:p>
        </w:tc>
        <w:tc>
          <w:tcPr>
            <w:tcW w:w="1289" w:type="dxa"/>
            <w:shd w:val="clear" w:color="auto" w:fill="auto"/>
            <w:vAlign w:val="center"/>
          </w:tcPr>
          <w:p>
            <w:pPr>
              <w:widowControl/>
              <w:snapToGrid w:val="0"/>
              <w:jc w:val="center"/>
              <w:rPr>
                <w:rFonts w:ascii="仿宋_GB2312" w:hAnsi="华文仿宋" w:eastAsia="仿宋_GB2312" w:cs="宋体"/>
                <w:kern w:val="0"/>
                <w:sz w:val="28"/>
                <w:szCs w:val="28"/>
              </w:rPr>
            </w:pPr>
            <w:r>
              <w:rPr>
                <w:rFonts w:hint="eastAsia" w:ascii="仿宋_GB2312" w:hAnsi="华文仿宋" w:eastAsia="仿宋_GB2312" w:cs="宋体"/>
                <w:kern w:val="0"/>
                <w:sz w:val="28"/>
                <w:szCs w:val="28"/>
              </w:rPr>
              <w:t>合格</w:t>
            </w:r>
          </w:p>
        </w:tc>
      </w:tr>
    </w:tbl>
    <w:p>
      <w:pPr>
        <w:ind w:firstLine="562" w:firstLineChars="200"/>
        <w:rPr>
          <w:rFonts w:ascii="仿宋_GB2312" w:hAnsi="仿宋_GB2312" w:eastAsia="仿宋_GB2312" w:cs="仿宋_GB2312"/>
          <w:b/>
          <w:bCs/>
          <w:sz w:val="28"/>
          <w:szCs w:val="28"/>
        </w:rPr>
      </w:pPr>
    </w:p>
    <w:p>
      <w:pPr>
        <w:ind w:firstLine="562" w:firstLineChars="200"/>
        <w:rPr>
          <w:rFonts w:ascii="仿宋_GB2312" w:hAnsi="仿宋_GB2312" w:eastAsia="仿宋_GB2312" w:cs="仿宋_GB2312"/>
          <w:b/>
          <w:bCs/>
          <w:sz w:val="28"/>
          <w:szCs w:val="28"/>
        </w:rPr>
      </w:pPr>
    </w:p>
    <w:p>
      <w:pPr>
        <w:numPr>
          <w:ilvl w:val="0"/>
          <w:numId w:val="1"/>
        </w:numPr>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取得的成效</w:t>
      </w:r>
    </w:p>
    <w:p>
      <w:pPr>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立项建设一年来，各专业综合改革试点项目均按照学校专业综合改革实施方案的要求，成立了专业综合改革试点工作的组织机构，进一步理顺了专业办学的体制机制，进一步完善了专业综合改革实施方案，制定了年度改革和建设计划，并较好地组织了实施。各综合改革试点专业经过广泛调研、反复讨论，层层审核，形成了能适应专业综合改革要求的人才培养方案，优化了专业课程体系，完善了人才培养模式，综合改革成效初步显现。</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数学与应用数学专业创新了人才培养机制，构建了“院、政、校”协同育人的“四共建”机制，建立了“院、政、校”协同育人联盟，构建了以“做”为中心，“教”与“学”服务于“做”，四年贯通的“三层次、三阶段、递进式”师范技能训练体系。</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通信工程专业打造了“通信基础理论核心课程群”“电子技术基础核心课程群”和“无线通信技术核心课程群”三支精品教学团队，并分别确立课程群负责人。该专业还注重信息化课程建设，除了建设有省级、校级信息化课程外，还建设了一批院级信息化课程。</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旅游管理专业注重校外实习基地建设，推进校企合作办学，在湖南华天国际酒店管理有限公司设立了省级校企合作创新创业教育基地，并选派教师到基地挂职锻炼。另外，该专业还新建了上海华侨城（景区）、中山金钻酒店、珠海长隆国际海洋度假区等实习基地。</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汉语言文学专业以《普通话与教师口语》《学科教学技能》《写作》等师范技能类实训课程为切入点，大力推进课程教学与考核方式的改革，摈弃闭卷笔试的单一形式，考核方法多样，以灵活多样的考核形式检测和提升师范生基本素质和实际教学能力，取得了较好的改革效果。新闻学专业基于利益共同体的校企合作协同育人的体制机制获得了新突破，有效地改变了校企合作“学校热、企业冷”的局面，初步形成了适合学校实际的新闻学专业学生技能实训体系。</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临床医学以基层卫生服务需求为导向，强化学生基层服务意识。积极推进实验教学改革，构筑了医学形态学、医学机能学和分子医学三大基础医学实验教学板块，加大了实验课程整合力度，对实验项目和实验内容科学定位，独立设置了基础医学实验课程。大力推广“PBL”（以问题为中心)、引导式等多种形式教学方法改革，积极开展学生学业成绩全程评定，全面实施了客观结构化临床技能考试。</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此外，工商管理、通信工程、食品科学与工程等专业网站资料比较齐全，较好的展示了专业改革与建设的计划、子项目、课程资源、实践教学、改革动态与改革成效等情况。</w:t>
      </w:r>
    </w:p>
    <w:p>
      <w:pPr>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三、存在的问题</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部分单位重视程度不够。专业综合改革是一把手工程，单位主要领导应该亲自抓改革，抓建设，汇聚全院力量，做好专业综合改革工作。检查中发现部分单位重视程度不够，年度建设计划、建设任务和年度检查存在应付现象。</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顶层设计需要加强。专业综合改革是系统工程，试点单位应该按照申报书中的预期改革目标，加强顶层设计，将综合改革项目的任务进行合理分解，明确责任主体，以子项目的形式推进建设，将改革目标具体化、清晰化。检查中发现各项目普遍需要加强顶层设计，多个专业改革试点专业存在任务未细化，主体未明确，责任未落实、经费未分解的现象，影响了专业综合改革工作的整体推进。</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改革力度不够。专业综合改革试点项目是学校推进专业建设与改革的重要抓手，是其他专业改革的先行者、探路者、引领者，应该在师资建设、课程建设、课堂教学模式、实践教学、校企合作、实习基地建设等各个方面都做出富有创新性的改革，起到示范作用。从本次检查的情况来看，一些建设基础较好的综合改革试点项目，并未在原有的基础上获得新的突破。特别是国家级、省级专业综合试点专业，应该有更大的改革力度和更好的改革成效，以更好地发挥旗帜引领作用。</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师资建设有待加强。各试点专业的师资建设与改革力度均有待加强，未按照专业综合改革的要求，培训能适应改革需要的师资队伍。特别是工科专业，应主动适应“新工科建设”的发展形势，改革当前师资培养的模式、体制机制，着力提高双师型教师的比例，提升实践教学教师的指导水平与能力。</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专业网站建设滞后。按照学校专业综合改革的要求，各专业综合改革试点专业应建立专门的网站来介绍专业综合改革的思路、举措，专业综合改革的方案和阶段性工作的进展情况，以及专业综合改革的实际效果，及时总结专业综合改革的经验与教训，引领示范同类专业的建设与改革，但目前专业综合改革试点项目网站建设普遍滞后，相当一部分试点项目还未开展网站建设。专业综合改革的全员知晓度、引领性和示范性没有得到很好的保障。</w:t>
      </w:r>
    </w:p>
    <w:p>
      <w:pPr>
        <w:ind w:firstLine="560"/>
        <w:rPr>
          <w:rFonts w:ascii="仿宋_GB2312" w:hAnsi="仿宋_GB2312" w:eastAsia="仿宋_GB2312" w:cs="仿宋_GB2312"/>
          <w:sz w:val="28"/>
          <w:szCs w:val="28"/>
        </w:rPr>
      </w:pPr>
      <w:r>
        <w:rPr>
          <w:rFonts w:hint="eastAsia" w:ascii="仿宋_GB2312" w:hAnsi="仿宋_GB2312" w:eastAsia="仿宋_GB2312" w:cs="仿宋_GB2312"/>
          <w:b/>
          <w:bCs/>
          <w:sz w:val="28"/>
          <w:szCs w:val="28"/>
        </w:rPr>
        <w:t>四、后续工作</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继续深入推进专业综合改革。各试点专业应该加强研究，创新思维，加强顶层设计，加大改革力度，推进子项目建设落到实处，切实提高专业综合改革项目实施的成效，强化专业内涵，形成专业特色，引领学校同类专业又好又快地发展。</w:t>
      </w:r>
    </w:p>
    <w:p>
      <w:pPr>
        <w:ind w:firstLine="560"/>
        <w:rPr>
          <w:rFonts w:ascii="仿宋_GB2312" w:hAnsi="仿宋_GB2312" w:eastAsia="仿宋_GB2312" w:cs="仿宋_GB2312"/>
          <w:sz w:val="28"/>
          <w:szCs w:val="28"/>
        </w:rPr>
      </w:pPr>
      <w:bookmarkStart w:id="1" w:name="_GoBack"/>
      <w:r>
        <w:rPr>
          <w:rFonts w:hint="eastAsia" w:ascii="楷体_GB2312" w:eastAsia="楷体_GB2312"/>
          <w:color w:val="000000"/>
          <w:sz w:val="28"/>
          <w:szCs w:val="28"/>
        </w:rPr>
        <w:drawing>
          <wp:anchor distT="0" distB="0" distL="114300" distR="114300" simplePos="0" relativeHeight="251660288" behindDoc="1" locked="0" layoutInCell="1" allowOverlap="1">
            <wp:simplePos x="0" y="0"/>
            <wp:positionH relativeFrom="column">
              <wp:posOffset>3843020</wp:posOffset>
            </wp:positionH>
            <wp:positionV relativeFrom="paragraph">
              <wp:posOffset>2166620</wp:posOffset>
            </wp:positionV>
            <wp:extent cx="1447800" cy="1466850"/>
            <wp:effectExtent l="41910" t="3175" r="53340" b="53975"/>
            <wp:wrapNone/>
            <wp:docPr id="1" name="图片 3" descr="DBSTEP_MARK&#13;&#10;FILENAME=关于做好我校2011届毕业生、2012届医学类毕业生学历证书电子注册像片采集工作的通知&#13;&#10;MARKNAME=教务处印章&#13;&#10;USERNAME=007553&#13;&#10;DATETIME=2010-09-09 17:15:38&#13;&#10;MARKGUID={3059D5CB-E969-4209-BA4C-256498DF37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DBSTEP_MARK&#13;&#10;FILENAME=关于做好我校2011届毕业生、2012届医学类毕业生学历证书电子注册像片采集工作的通知&#13;&#10;MARKNAME=教务处印章&#13;&#10;USERNAME=007553&#13;&#10;DATETIME=2010-09-09 17:15:38&#13;&#10;MARKGUID={3059D5CB-E969-4209-BA4C-256498DF37AB}"/>
                    <pic:cNvPicPr>
                      <a:picLocks noChangeAspect="1"/>
                    </pic:cNvPicPr>
                  </pic:nvPicPr>
                  <pic:blipFill>
                    <a:blip r:embed="rId4">
                      <a:clrChange>
                        <a:clrFrom>
                          <a:srgbClr val="FFFFFF"/>
                        </a:clrFrom>
                        <a:clrTo>
                          <a:srgbClr val="FFFFFF">
                            <a:alpha val="0"/>
                          </a:srgbClr>
                        </a:clrTo>
                      </a:clrChange>
                    </a:blip>
                    <a:stretch>
                      <a:fillRect/>
                    </a:stretch>
                  </pic:blipFill>
                  <pic:spPr>
                    <a:xfrm rot="-202337">
                      <a:off x="0" y="0"/>
                      <a:ext cx="1447800" cy="1466850"/>
                    </a:xfrm>
                    <a:prstGeom prst="rect">
                      <a:avLst/>
                    </a:prstGeom>
                    <a:noFill/>
                    <a:ln w="9525">
                      <a:noFill/>
                    </a:ln>
                  </pic:spPr>
                </pic:pic>
              </a:graphicData>
            </a:graphic>
          </wp:anchor>
        </w:drawing>
      </w:r>
      <w:bookmarkEnd w:id="1"/>
      <w:r>
        <w:rPr>
          <w:rFonts w:hint="eastAsia" w:ascii="仿宋_GB2312" w:hAnsi="仿宋_GB2312" w:eastAsia="仿宋_GB2312" w:cs="仿宋_GB2312"/>
          <w:sz w:val="28"/>
          <w:szCs w:val="28"/>
        </w:rPr>
        <w:t>2.本次检查结果是学校划拨下一年度建设经费的依据。合格的项目将继续下拨下一年度建设经费，各项目建设团队应制定下一年度建设计划，推动项目继续实施。本次检查不合格的项目暂停拨付下一年度建设经费，项目所在学院应组织项目责任主体进行整改，按照学校专业综合改革的总体要求和年度建设任务完成相应的改革与建设工作，待学校组织专家审核后决定是否拨付下一年度建设经费。</w:t>
      </w:r>
    </w:p>
    <w:p/>
    <w:p>
      <w:pPr>
        <w:ind w:firstLine="56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吉首大学教务处</w:t>
      </w:r>
    </w:p>
    <w:p>
      <w:pPr>
        <w:ind w:firstLine="56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2017年10月30日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7C9A7"/>
    <w:multiLevelType w:val="singleLevel"/>
    <w:tmpl w:val="59F7C9A7"/>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0AB2"/>
    <w:rsid w:val="00027861"/>
    <w:rsid w:val="00035A6E"/>
    <w:rsid w:val="00170AB2"/>
    <w:rsid w:val="001B4845"/>
    <w:rsid w:val="0024175D"/>
    <w:rsid w:val="002932BD"/>
    <w:rsid w:val="00357127"/>
    <w:rsid w:val="003C5EA9"/>
    <w:rsid w:val="003D6162"/>
    <w:rsid w:val="00470E60"/>
    <w:rsid w:val="0047197F"/>
    <w:rsid w:val="00477CCF"/>
    <w:rsid w:val="004C0EFE"/>
    <w:rsid w:val="005364C1"/>
    <w:rsid w:val="00541ACB"/>
    <w:rsid w:val="00570D3F"/>
    <w:rsid w:val="005831E8"/>
    <w:rsid w:val="00595ECF"/>
    <w:rsid w:val="00643CBF"/>
    <w:rsid w:val="006C6759"/>
    <w:rsid w:val="00775132"/>
    <w:rsid w:val="008609D7"/>
    <w:rsid w:val="008924A3"/>
    <w:rsid w:val="00AB5DCF"/>
    <w:rsid w:val="00B63ECE"/>
    <w:rsid w:val="00C23859"/>
    <w:rsid w:val="00CB2AD6"/>
    <w:rsid w:val="00D008C6"/>
    <w:rsid w:val="00D91604"/>
    <w:rsid w:val="00DF4A28"/>
    <w:rsid w:val="00F13A12"/>
    <w:rsid w:val="00F7181E"/>
    <w:rsid w:val="00FA6E1F"/>
    <w:rsid w:val="00FA78A4"/>
    <w:rsid w:val="012237F5"/>
    <w:rsid w:val="1A61148B"/>
    <w:rsid w:val="229E487F"/>
    <w:rsid w:val="28561571"/>
    <w:rsid w:val="286D063A"/>
    <w:rsid w:val="31E034FE"/>
    <w:rsid w:val="45117DB9"/>
    <w:rsid w:val="4AF21571"/>
    <w:rsid w:val="55654EAB"/>
    <w:rsid w:val="5B4912D3"/>
    <w:rsid w:val="619F51CE"/>
    <w:rsid w:val="632F6310"/>
    <w:rsid w:val="690C01B4"/>
    <w:rsid w:val="6E6C5AB1"/>
    <w:rsid w:val="6E911A54"/>
    <w:rsid w:val="74F053C7"/>
    <w:rsid w:val="75FC5D18"/>
    <w:rsid w:val="7A5025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kern w:val="2"/>
      <w:sz w:val="18"/>
      <w:szCs w:val="18"/>
    </w:rPr>
  </w:style>
  <w:style w:type="character" w:customStyle="1" w:styleId="7">
    <w:name w:val="页脚 Char"/>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5</Pages>
  <Words>398</Words>
  <Characters>2269</Characters>
  <Lines>18</Lines>
  <Paragraphs>5</Paragraphs>
  <ScaleCrop>false</ScaleCrop>
  <LinksUpToDate>false</LinksUpToDate>
  <CharactersWithSpaces>2662</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2017-10-31T02:53:00Z</dcterms:created>
  <dc:creator>lenovo</dc:creator>
  <cp:lastModifiedBy>Administrator</cp:lastModifiedBy>
  <cp:lastPrinted>2017-10-31T02:39:00Z</cp:lastPrinted>
  <dcterms:modified xsi:type="dcterms:W3CDTF">2017-10-31T03:56:48Z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